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KİRACININ TAHLİYESİ İÇİN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Adı Soyadı] [Ev Sahibinin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[Kiracının Adı Soyadı] [Kiralanan Konutun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Kira Sözleşmesinin Feshi ve Tahliye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 Sözleşmesi Başlangıç Tarihi] tarihinde imzalanan ve [Kiralanan Konutun Adresi] adresindeki konutu kapsayan kira sözleşmemiz, [Kira Sözleşmesi Bitiş Tarihi] tarihinde sona erecektir. / [Fesih Nedeni (Örneğin: İki haklı ihtara rağmen kira borcunun ödenmemesi, konutun tahrip edilmesi, komşuları rahatsız etme vb.)] nedeniyle kira sözleşmemiz feshedilmiştir.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6098 sayılı Türk Borçlar Kanunu'nun [İlgili Madde Numarası] maddesi uyarınca, kira sözleşmesinin sona ermesi/feshi nedeniyle konutu [Tahliye Tarihi] tarihine kadar tahliye etmenizi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yollara başvurarak hakkımı arayacağımı ve doğacak tüm masrafların tarafınızdan karşılanacağını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sunar, iyi günler dilerim.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[Ev Sahibinin İmzası] [Ev Sahibinin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 örneği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[Fesih nedenine ilişkin belgeler (varsa)] (Örneğin: Haklı ihtarnameler, şikayet dilekçeleri, tutanaklar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sözleşmesinin özel şartlarına, fesih nedenine ve yasal düzenlemelere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 tahliye taahhütnamesi imzalamış olsa dahi, tahliye için ihtarname gönderilmesi gerekmektedir.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ihtarnamesi, kira sözleşmesinin bitiş tarihinden veya fesih tarihinden önceki son ayın içerisinde kiracıya tebliğ edilmelidir.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tahliye talebine itiraz etmek isterse, tahliye tarihinden itibaren 1 hafta içinde sulh hukuk mahkemesine başvurabilir.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 (güvenli elektronik imza ile):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mektupla aynıdır.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