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ŞARTLAR</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Tarafların Beyan ve Taahhütleri:</w:t>
      </w:r>
      <w:r w:rsidDel="00000000" w:rsidR="00000000" w:rsidRPr="00000000">
        <w:rPr>
          <w:color w:val="1f1f1f"/>
          <w:rtl w:val="0"/>
        </w:rPr>
        <w:t xml:space="preserve"> Taraflar, bu sözleşmeyi imzalayarak, sözleşmede yer alan tüm hususları okuduklarını, anladıklarını ve kabul ettiklerini beyan ederler. Taraflar, sözleşme konusu işlemleri yerine getirmek için gerekli tüm yasal izinlere ve yetkilere sahip olduklarını taahhüt ederler.</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Gizlilik:</w:t>
      </w:r>
      <w:r w:rsidDel="00000000" w:rsidR="00000000" w:rsidRPr="00000000">
        <w:rPr>
          <w:color w:val="1f1f1f"/>
          <w:rtl w:val="0"/>
        </w:rPr>
        <w:t xml:space="preserve"> Taraflar, bu sözleşme kapsamında öğrendikleri ticari sırları, gizli bilgileri ve diğer hassas verileri üçüncü şahıslara açıklamayacaklarını veya ifşa etmeyeceklerini kabul ederler.</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Mücbir Sebepler:</w:t>
      </w:r>
      <w:r w:rsidDel="00000000" w:rsidR="00000000" w:rsidRPr="00000000">
        <w:rPr>
          <w:color w:val="1f1f1f"/>
          <w:rtl w:val="0"/>
        </w:rPr>
        <w:t xml:space="preserve"> Taraflar, mücbir sebepler (doğal afetler, savaş, grev, salgın hastalıklar vb.) nedeniyle sözleşme yükümlülüklerini yerine getirememeleri durumunda sorumlu tutulmayacaklarını kabul ederler. Mücbir sebep durumunda, taraflar durumu yazılı olarak birbirlerine bildirecek ve yükümlülüklerini yerine getirmek için makul bir süre tanıyacaklardır.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Sözleşmenin Devri:</w:t>
      </w:r>
      <w:r w:rsidDel="00000000" w:rsidR="00000000" w:rsidRPr="00000000">
        <w:rPr>
          <w:color w:val="1f1f1f"/>
          <w:rtl w:val="0"/>
        </w:rPr>
        <w:t xml:space="preserve"> Taraflar, bu sözleşmeyi veya sözleşmeden doğan hak ve yükümlülüklerini diğer tarafın yazılı onayı olmadan üçüncü kişilere devredemezler.</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Bildirimler:</w:t>
      </w:r>
      <w:r w:rsidDel="00000000" w:rsidR="00000000" w:rsidRPr="00000000">
        <w:rPr>
          <w:color w:val="1f1f1f"/>
          <w:rtl w:val="0"/>
        </w:rPr>
        <w:t xml:space="preserve"> Taraflar arasındaki her türlü bildirim, yazılı olarak ve karşı tarafın sözleşmede belirtilen adresine taahhütlü posta veya noter aracılığıyla yapılacaktır. Bildirimin, karşı tarafça teslim alındığı tarihte yapılmış sayılacağı kabul edilir.</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Uygulanacak Hukuk ve Yetkili Mahkeme/Tahkim:</w:t>
      </w:r>
      <w:r w:rsidDel="00000000" w:rsidR="00000000" w:rsidRPr="00000000">
        <w:rPr>
          <w:color w:val="1f1f1f"/>
          <w:rtl w:val="0"/>
        </w:rPr>
        <w:t xml:space="preserve"> Bu sözleşmenin uygulanmasında ve yorumlanmasında Türkiye Cumhuriyeti kanunları geçerli olacaktır. Taraflar arasındaki her türlü uyuşmazlık, öncelikle iyi niyet çerçevesinde çözümlenmeye çalışılacaktır. Anlaşmazlık halinde, İstanbul Mahkemeleri ve İcra Daireleri yetkili olacaktır. (Alternatif olarak, taraflar İstanbul Tahkim Merkezi (ISTAC) veya başka bir tahkim kurumunu yetkili kılabilirler.)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Sözleşmenin Bütünlüğü:</w:t>
      </w:r>
      <w:r w:rsidDel="00000000" w:rsidR="00000000" w:rsidRPr="00000000">
        <w:rPr>
          <w:color w:val="1f1f1f"/>
          <w:rtl w:val="0"/>
        </w:rPr>
        <w:t xml:space="preserve"> Bu sözleşme, taraflar arasındaki anlaşmanın tamamını oluşturur ve daha önce yapılan tüm sözlü veya yazılı anlaşmaların yerine geçer.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Sözleşme Değişiklikleri:</w:t>
      </w:r>
      <w:r w:rsidDel="00000000" w:rsidR="00000000" w:rsidRPr="00000000">
        <w:rPr>
          <w:color w:val="1f1f1f"/>
          <w:rtl w:val="0"/>
        </w:rPr>
        <w:t xml:space="preserve"> Bu sözleşme, sadece tarafların yazılı mutabakatı ile değiştirilebilir.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Yürürlük:</w:t>
      </w:r>
      <w:r w:rsidDel="00000000" w:rsidR="00000000" w:rsidRPr="00000000">
        <w:rPr>
          <w:color w:val="1f1f1f"/>
          <w:rtl w:val="0"/>
        </w:rPr>
        <w:t xml:space="preserve"> Bu sözleşme, taraflarca imzalandığı tarihte yürürlüğe girer.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örnektir. Genel şartlar, sözleşmenin türüne ve tarafların ihtiyaçlarına göre değişiklik gösterebilir. Bu nedenle, bir sözleşme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