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MADENCİLİK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Madencilik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Madencilik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 arama, çıkarma, işleme ve zenginleştirme faaliyetleri yapmak,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 ürünleri ve yan ürünlerini satmak, pazarlamak ve dağıtmak,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Madencilik sektöründe yatırım yapmak,</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lider bir konuma gelmek.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maden arama, çıkarma, işleme, zenginleştirme ve rafine etme faaliyetleri yapmak.</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metalik ve metalik olmayan madenlerin, kömür, linyit, bor, mermer, granit, kireçtaşı, kum, çakıl, kil, tuz, kükürt, fosfat, uranyum ve diğer madenlerin aranması, çıkartılması, işlenmesi, zenginleştirilmesi, rafine edilmesi, alım satımı, ithalat ve ihracatını yapmak.</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Madencilik faaliyetleri ile ilgili her türlü makine, teçhizat, araç, gereç ve malzemeyi almak, satmak, kiralamak, kiraya vermek, ithal ve ihraç etmek.</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Madencilik faaliyetleri ile ilgili her türlü tesis, fabrika, atölye, depo ve benzeri yapıları kurmak, işletmek, kiralamak, kiraya vermek.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Madencilik faaliyetleri ile ilgili her türlü proje, etüt, fizibilite çalışmaları yapmak, yaptırmak.</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Madencilik sektöründe faaliyet gösteren firmalara danışmanlık, mühendislik, proje, yönetim ve organizasyon hizmetleri vermek.</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Madencilik sektörü ile ilgili her türlü fuar, sergi ve organizasyonlara katılmak.</w:t>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E">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F">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21">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22">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HİSSE SENETLERİ:</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 PAY SAHİPLERİNİN HAKLARI:</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 PAY SAHİPLERİNİN YÜKÜMLÜLÜKLERİ:</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 GENEL KURUL:</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 YÖNETİM KURULU:</w:t>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 DENETİM:</w:t>
      </w:r>
    </w:p>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6">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8">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A">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C">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40">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madencilik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