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MAZERETSİZ GELMEME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Ünvanı: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Telefon: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 Bilgileri: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İşe Başlama Tarihi: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Gelmeme Durumu: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Tarih(ler):</w:t>
      </w:r>
      <w:r w:rsidDel="00000000" w:rsidR="00000000" w:rsidRPr="00000000">
        <w:rPr>
          <w:color w:val="1f1f1f"/>
          <w:rtl w:val="0"/>
        </w:rPr>
        <w:t xml:space="preserve"> (İşe gelinmeyen gün veya günler)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Saat(ler):</w:t>
      </w:r>
      <w:r w:rsidDel="00000000" w:rsidR="00000000" w:rsidRPr="00000000">
        <w:rPr>
          <w:color w:val="1f1f1f"/>
          <w:rtl w:val="0"/>
        </w:rPr>
        <w:t xml:space="preserve"> (İşe gelinmeyen saat veya saatler)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(İşçinin işe gelmemesinin </w:t>
      </w:r>
      <w:r w:rsidDel="00000000" w:rsidR="00000000" w:rsidRPr="00000000">
        <w:rPr>
          <w:b w:val="1"/>
          <w:color w:val="1f1f1f"/>
          <w:rtl w:val="0"/>
        </w:rPr>
        <w:t xml:space="preserve">mazeretsiz olduğu</w:t>
      </w:r>
      <w:r w:rsidDel="00000000" w:rsidR="00000000" w:rsidRPr="00000000">
        <w:rPr>
          <w:color w:val="1f1f1f"/>
          <w:rtl w:val="0"/>
        </w:rPr>
        <w:t xml:space="preserve"> ve işveren tarafından yapılan tespitler ayrıntılı olarak açıklanır. İşçi ile iletişime geçilmeye çalışıldığı halde ulaşılamadığı belirtilebilir.)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Bilgilendirme: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(İşçiye, işe mazeretsiz gelme durumunun iş sözleşmesi ve işyeri iç yönetmeliği hükümlerine göre sonuçları hakkında bilgi verildiği belirtilir. İş Kanunu'nun 25/II-e maddesi gereğince iş akdinin feshi ihtimalinden bahsedilebilir.)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veya İşveren Vekili: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(Varsa, devamsızlık kayıtları, kamera görüntüleri, tanık beyanları vb. belgeler eklenir.)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 sözleşmesi ve işyeri iç yönetmeliği hükümlerine aykırı davranarak belirtilen tarih(ler)de mazeretsiz olarak işe gelmemiştir.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işçinin savunması alınarak disiplin süreci başlatılması veya iş akdinin feshi için kanıt olarak kullanılabilir.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bu tutanak hakkında savunma hakkını kullanabilir.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işletmenin özelliklerine ve mevzuata uygun olarak düzenlenmelidir.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 ve ilgili mevzuat hükümleri dikkate alınarak hazırlanmalıdır.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 yaşanmaması için bir avukata danışılması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