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MOBİLYA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Mobilya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Mobilya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mobilya ve dekorasyon ürünlerinin tasarım, üretim, pazarlama ve satışını yapmak,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kaliteli, estetik ve fonksiyonel ürünler sunmak,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lider bir konuma gelmek.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mobilya ve dekorasyon ürünlerinin (oturma grupları, yatak odaları, yemek odaları, genç odaları, mutfak mobilyaları, banyo mobilyaları, ofis mobilyaları, bahçe mobilyaları vb.) tasarımını, üretimini, alım satımını, ithalatını ve ihracatını yapmak.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Mobilya imalatında kullanılan her türlü hammadde, yarı mamul, mamul, aksesuar ve yedek parçanın alım satımı, ithalatı ve ihracatını yapmak.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Mobilya tasarım ve üretimi ile ilgili her türlü proje, danışmanlık, eğitim ve organizasyon hizmetleri vermek.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Mobilya mağazaları, showroomlar ve satış noktaları açmak, işletmek ve franchise vermek.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Mobilya ve dekorasyon ürünleri ile ilgili her türlü fuar, sergi ve organizasyonlara katılmak.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mobilya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