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NAKLİYECİLİK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Nakliyecilik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Nakliyecilik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yük ve eşyanın taşınmasını sağlamak,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güvenli, hızlı ve ekonomik taşımacılık hizmetleri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lider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içinde ve yurt dışında her nevi kara, hava, deniz ve demiryolu taşımacılığı yapmak, yaptırmak, nakliye komisyonculuğu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eşya ve yükün ambalajlanması, depolanması, elleçlenmesi, dağıtımı, yüklenmesi, boşaltılması, gümrükleme işlemleri, sigortalanması ve benzeri hizmetleri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taşıt, araç, gereç, makine, ekipman, tesis ve depo kiralamak, kiraya vermek, satın almak, satmak, ithal ve ihraç etmek.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Nakliyecilik sektöründe faaliyet gösteren firmalara danışmanlık, eğitim ve organizasyon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Nakliyecilik sektörü ile ilgili her türlü fuar, sergi ve organizasyonlara katılmak.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nakliyecilik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