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ONAYLI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 olan ve aşağıda adresi yazılı taşınmazın KİRACI tarafından belirli bir süre için kiralanmasına ilişkin şartların belirlenmesidir.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Metrekaresi: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Eklentileri: (Balkon, teras, otopark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 (Sözleşmenin bitiminde uzatılıp uzatılmayacağı, uzatma koşulları)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(Türk Lirası olarak)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 (Kira artış oranı ve zamanı, TÜFE'ye göre veya sabit artış)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VEREN'İN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kullanıma elverişli durumda teslim etmek.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ana yapısı ile ilgili bakım ve onarımları yapmak (adi bakım ve onarımlar hariç).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Kiralananla ilgili vergileri ödemek.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özenle kullanmak ve komşulara saygılı davranmak.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bakım ve onarımını yapmak (adi bakım ve onarımlar).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izinsiz olarak başkasına devretmemek veya alt kiraya vermemek.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kiralananı boşaltmak ve aynı durumda teslim etmek.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 ile ilgili abonelik ve kullanım bedellerini (elektrik, su, doğalgaz vb.) ödemek.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6098 sayılı Türk Borçlar Kanunu ve ilgili mevzuat hükümlerine göre feshedilebilir. Taraflar, haklı bir sebebe dayanarak veya karşılıklı anlaşarak sözleşmeyi feshedebilirler.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noter onaylı kira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