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NUMUNE ALMA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(Numunenin alındığı yerin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Firma/Kuruluş Bilgileri:</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Yetkili Kişi: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 Bilgileri:</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Parti/Lot No:</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Miktar:</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Ambalaj Şekli: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 Alma Nedeni:</w:t>
      </w:r>
    </w:p>
    <w:p w:rsidR="00000000" w:rsidDel="00000000" w:rsidP="00000000" w:rsidRDefault="00000000" w:rsidRPr="00000000" w14:paraId="0000000F">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(Analiz, kontrol, deneme vb. amaçlar belirtilir)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 Alma Şekli: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(Rastgele, sistematik, tabakalı vb. yöntemlerden hangisinin kullanıldığı belirtilir)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 Miktarı ve Özellikleri: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(Alınan numune miktarı, fiziksel özellikleri, saklama koşulları vb. belirtilir)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Numunelerin Mühürlenmesi ve Etiketlenmesi:</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(Numunelerin nasıl mühürlendiği, etiket bilgilerinin neler olduğu belirtilir)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Numunelerin Dağılımı:</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(Numunelerin kime/nereye teslim edildiği belirtilir)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Numuneyi Alan: (Adı Soyadı, İmza)</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Firma/Kuruluş Yetkilisi: (Adı Soyadı, İmza)</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Şahitler: (Adı Soyadı,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numune alma işleminin yasal bir kaydı olarak saklanır.</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tutanakta yer alan bilgilerin doğruluğunu kabul ve beyan ederler.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numune alma işleminin özelliklerine göre değiştirilebilir ve geliştirilebilir.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Mevzuat:</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5996 Sayılı Veteriner Hizmetleri, Bitki Sağlığı, Gıda ve Yem Kanunu</w:t>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Gıda, Tarım ve Hayvancılık Bakanlığı Numune Alma Yönetmeliği</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mevzuat hükümleri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örnekte genel bir numune alma tutanağı formatı sunulmuştur. Numune alınan ürünün türüne ve ilgili mevzuata göre tutanak içeriği farklılık gösterebilir. Özellikle gıda, tarım veya çevre alanlarında numune alırken ilgili mevzuatın gerektirdiği özel bilgilere de yer verilmesi önemlidir. Ayrıca, numune alma işlemi sırasında fotoğraf veya video kaydı alınması da kanıt niteliği taşıyabilir.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Tarım ve Orman Bakanlığı'nın web sitesinde numune alma tutanağı örneklerine ulaşabilirsiniz:</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hd w:fill="auto" w:val="clear"/>
        <w:ind w:left="270" w:hanging="360"/>
      </w:pPr>
      <w:hyperlink r:id="rId6">
        <w:r w:rsidDel="00000000" w:rsidR="00000000" w:rsidRPr="00000000">
          <w:rPr>
            <w:color w:val="0b57d0"/>
            <w:u w:val="single"/>
            <w:rtl w:val="0"/>
          </w:rPr>
          <w:t xml:space="preserve">https://vskn.tarimorman.gov.tr/pendik/Menu/70/Numune-Alma-Tutanagi-Ve-Sahit-Numune-Teslim-Alma-Tutanagi</w:t>
        </w:r>
      </w:hyperlink>
      <w:r w:rsidDel="00000000" w:rsidR="00000000" w:rsidRPr="00000000">
        <w:rPr>
          <w:rtl w:val="0"/>
        </w:rPr>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hd w:fill="auto" w:val="clear"/>
        <w:ind w:left="270" w:hanging="360"/>
      </w:pPr>
      <w:hyperlink r:id="rId7">
        <w:r w:rsidDel="00000000" w:rsidR="00000000" w:rsidRPr="00000000">
          <w:rPr>
            <w:color w:val="0b57d0"/>
            <w:u w:val="single"/>
            <w:rtl w:val="0"/>
          </w:rPr>
          <w:t xml:space="preserve">https://zkm.tarimorman.gov.tr/bursa/Belgeler/Dilek%C3%A7eler/NUMUNE%20ALMA%20TUTANA%C4%9EI.doc</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skn.tarimorman.gov.tr/pendik/Menu/70/Numune-Alma-Tutanagi-Ve-Sahit-Numune-Teslim-Alma-Tutanagi" TargetMode="External"/><Relationship Id="rId7" Type="http://schemas.openxmlformats.org/officeDocument/2006/relationships/hyperlink" Target="https://zkm.tarimorman.gov.tr/bursa/Belgeler/Dilek%C3%A7eler/NUMUNE%20ALMA%20TUTANA%C4%9E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