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 No: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Alacaklı: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Vergi Dairesi: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Vergi Numarası: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Borçlu: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D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Vergi Dairesi:</w:t>
      </w:r>
    </w:p>
    <w:p w:rsidR="00000000" w:rsidDel="00000000" w:rsidP="00000000" w:rsidRDefault="00000000" w:rsidRPr="00000000" w14:paraId="0000000F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Vergi Numarası: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Konu: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alacaklı ile borçlu arasında mevcut borcun ödeme şekli, taksitlendirilmesi ve diğer hususlara ilişkin usul ve esasları düzenlemektedir.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Borç Miktarı: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Anapara: ... TL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Faiz: ... TL (Eğer varsa)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Faizi: ... TL (Eğer varsa)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Toplam Borç Miktarı: ... TL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Ödeme Şekli ve Taksitlendirme: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Borçlu, toplam borç miktarını ... eşit taksitte ödeyecektir.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Her taksit tutarı: ... TL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Taksitlerin ödeme tarihleri: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54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960" w:hanging="360"/>
      </w:pPr>
      <w:r w:rsidDel="00000000" w:rsidR="00000000" w:rsidRPr="00000000">
        <w:rPr>
          <w:color w:val="1f1f1f"/>
          <w:rtl w:val="0"/>
        </w:rPr>
        <w:t xml:space="preserve">Taksit: .../.../.....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54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960" w:hanging="360"/>
      </w:pPr>
      <w:r w:rsidDel="00000000" w:rsidR="00000000" w:rsidRPr="00000000">
        <w:rPr>
          <w:color w:val="1f1f1f"/>
          <w:rtl w:val="0"/>
        </w:rPr>
        <w:t xml:space="preserve">Taksit: .../.../.....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540" w:hanging="360"/>
      </w:pPr>
      <w:r w:rsidDel="00000000" w:rsidR="00000000" w:rsidRPr="00000000">
        <w:rPr>
          <w:color w:val="1f1f1f"/>
          <w:rtl w:val="0"/>
        </w:rPr>
        <w:t xml:space="preserve">... (Diğer taksitlerin ödeme tarihleri)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Ödeme Yeri ve Şekli: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Borçlu, taksitleri alacaklının ... [banka adı] ... şubesindeki ... [IBAN] numaralı hesabına [ödeme şekli] ile ödeyecektir.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Gecikme Faizi:</w:t>
      </w:r>
    </w:p>
    <w:p w:rsidR="00000000" w:rsidDel="00000000" w:rsidP="00000000" w:rsidRDefault="00000000" w:rsidRPr="00000000" w14:paraId="00000023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Borçlu, herhangi bir taksiti zamanında ödemezse, ödenmeyen tutar üzerinden aylık ... % gecikme faizi uygulanacaktır.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Temerrüt:</w:t>
      </w:r>
    </w:p>
    <w:p w:rsidR="00000000" w:rsidDel="00000000" w:rsidP="00000000" w:rsidRDefault="00000000" w:rsidRPr="00000000" w14:paraId="00000025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Borçlu, iki taksiti üst üste veya herhangi üç taksiti ödemezse, alacaklı tüm borcu muaccel hale getirme hakkına sahip olacaktır.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Diğer Hususlar:</w:t>
      </w:r>
    </w:p>
    <w:p w:rsidR="00000000" w:rsidDel="00000000" w:rsidP="00000000" w:rsidRDefault="00000000" w:rsidRPr="00000000" w14:paraId="00000027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(Taraflar arasında kararlaştırılan diğer hususlar belirtilir.)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Yürürlük:</w:t>
      </w:r>
    </w:p>
    <w:p w:rsidR="00000000" w:rsidDel="00000000" w:rsidP="00000000" w:rsidRDefault="00000000" w:rsidRPr="00000000" w14:paraId="00000029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taraflarca imzalandığı tarihte yürürlüğe girer.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9 - Uyuşmazlıkların Çözümü:</w:t>
      </w:r>
    </w:p>
    <w:p w:rsidR="00000000" w:rsidDel="00000000" w:rsidP="00000000" w:rsidRDefault="00000000" w:rsidRPr="00000000" w14:paraId="0000002B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protokoldan doğabilecek her türlü uyuşmazlık, ... Mahkemeleri ve İcra Daireleri'nde çözümlenecektir.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İmzaları: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Alacaklı: Borçlu: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30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görüldüğü takdirde, borca ilişkin belgeler, banka hesap bilgileri vb. ek olarak sunulabilir.)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ödeme protokolüdür. Tarafların özel durumuna ve ihtiyaçlarına göre bir avukat tarafından yeniden düzenlenmelidir.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Protokolün noter huzurunda imzalanması tavsiye edilir.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 ve ödeme koşulları, ilgili mevzuata uygun olmalıdır.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2"/>
      <w:numFmt w:val="decimal"/>
      <w:lvlText w:val="%3."/>
      <w:lvlJc w:val="left"/>
      <w:pPr>
        <w:ind w:left="9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2"/>
      <w:numFmt w:val="decimal"/>
      <w:lvlText w:val="%3."/>
      <w:lvlJc w:val="left"/>
      <w:pPr>
        <w:ind w:left="9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9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2"/>
      <w:numFmt w:val="decimal"/>
      <w:lvlText w:val="%3."/>
      <w:lvlJc w:val="left"/>
      <w:pPr>
        <w:ind w:left="9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