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ORGANİZASYON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Organizasyon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Organizasyon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etkinlik ve organizasyonun planlanması, yönetimi ve gerçekleştirilmesini sağlamak,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Müşterilerine yaratıcı, profesyonel ve unutulmaz deneyimler sunmak,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yenilikçi bir marka olmak.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kurumsal etkinlik, kongre, konferans, seminer, toplantı, bayi toplantısı, lansman, açılış, kutlama, parti, düğün, nişan, sünnet düğünü, mezuniyet töreni, konser, festival, fuar, sergi, defile, gala, ödül töreni, spor organizasyonu, kültürel etkinlik, sosyal sorumluluk projesi ve diğer her türlü organizasyonun planlanması, yönetimi, koordinasyonu, gerçekleştirilmesi ve danışmanlık hizmetleri.</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Organizasyonlar için gerekli olan mekan, sahne, dekor, ses, ışık, görüntü, catering, ulaşım, konaklama, güvenlik, hosteslik ve diğer hizmetlerin temini, organizasyonu ve koordinasyonu.</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Organizasyonlar için gerekli olan her türlü ekipman, malzeme, araç ve gereçlerin kiralanması, satın alınması, satılması, ithalatı ve ihracatı.</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Organizasyonlar ile ilgili her türlü reklam, tanıtım, pazarlama, halkla ilişkiler ve medya hizmetleri.</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Organizasyon sektöründe faaliyet gösteren diğer firmalarla işbirliği yapmak, ortak projeler geliştirmek.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1F">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3">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5">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7">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organizasyon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