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İŞE GELMEME (DEVAMSIZLIK)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İşyeri:</w:t>
      </w:r>
      <w:r w:rsidDel="00000000" w:rsidR="00000000" w:rsidRPr="00000000">
        <w:rPr>
          <w:color w:val="1f1f1f"/>
          <w:rtl w:val="0"/>
        </w:rPr>
        <w:t xml:space="preserve"> (İşyerinin Adı ve Adresi)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Bilgileri: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Numarası: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Departmanı: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Başlangıç Saati:</w:t>
      </w:r>
      <w:r w:rsidDel="00000000" w:rsidR="00000000" w:rsidRPr="00000000">
        <w:rPr>
          <w:color w:val="1f1f1f"/>
          <w:rtl w:val="0"/>
        </w:rPr>
        <w:t xml:space="preserve"> (Resmi iş başlama saati yazılmalıdır.)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 Unvanı:</w:t>
      </w:r>
      <w:r w:rsidDel="00000000" w:rsidR="00000000" w:rsidRPr="00000000">
        <w:rPr>
          <w:color w:val="1f1f1f"/>
          <w:rtl w:val="0"/>
        </w:rPr>
        <w:t xml:space="preserve"> (Tutanağı düzenleyen kişinin unvanı yazılmalıdır.)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İşe Gelmeme Durumu: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personelin, .../.../...... tarihinde saat ...:... itibarıyla işe gelmediği ve bu durumun herhangi bir izin ya da bildirimle haklı gösterilmediği tespit edilmiştir.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 (varsa):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Bilgilendirme: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tutanak, 4857 sayılı İş Kanunu'nun 25. maddesi gereğince düzenlenmiştir. İşe gelmeme durumu, işverenin haklı nedenle derhal fesih hakkı doğuran bir durumdur.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İmzası (varsa):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işverenin iş akdini haklı nedenle feshetme hakkını kullanabilmesi için önemli bir belgedir.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Personel, bu tutanağa karşı işverene veya ilgili kurumlara itirazda bulunabilir.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(Rapor, dilekçe, izin belgesi vb.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