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SAVUNMA SANAYİ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Savunma Sanayi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sanayi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sanayiine yönelik ürün ve hizmetler geliştirmek, üretmek ve pazarlamak,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Ulusal güvenliğe katkıda bulunmak,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yenilikçi bir şirket olmak.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Kara, deniz, hava ve uzay platformları için savunma ve güvenlik sistemleri, silah sistemleri, elektronik sistemler, yazılım ve simülasyon sistemleri, lojistik destek hizmetleri, eğitim ve danışmanlık hizmetleri geliştirmek, üretmek, entegre etmek, test etmek, bakım ve onarımını yapmak, pazarlamak ve satmak.</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sanayiine yönelik her türlü araştırma ve geliştirme faaliyetleri yapmak, yaptırmak.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sanayiine yönelik her türlü teknoloji transferi, lisanslama ve ortak üretim anlaşmaları yapmak.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Savunma sanayiine yönelik her türlü fuar, sergi ve organizasyonlara katılmak.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D">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 HİSSE SENETLERİ:</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 PAY SAHİPLERİNİN HAKLARI:</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 PAY SAHİPLERİNİN YÜKÜMLÜLÜKLERİ:</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 GENEL KURUL:</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 YÖNETİM KURULU:</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 DENETİM:</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 HESAP DÖNEMİ:</w:t>
      </w:r>
    </w:p>
    <w:p w:rsidR="00000000" w:rsidDel="00000000" w:rsidP="00000000" w:rsidRDefault="00000000" w:rsidRPr="00000000" w14:paraId="00000030">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 KAR VE ZARAR:</w:t>
      </w:r>
    </w:p>
    <w:p w:rsidR="00000000" w:rsidDel="00000000" w:rsidP="00000000" w:rsidRDefault="00000000" w:rsidRPr="00000000" w14:paraId="00000032">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 YEDEK AKÇELER:</w:t>
      </w:r>
    </w:p>
    <w:p w:rsidR="00000000" w:rsidDel="00000000" w:rsidP="00000000" w:rsidRDefault="00000000" w:rsidRPr="00000000" w14:paraId="00000034">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 BORÇLANMA:</w:t>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 TEMSİL:</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 ÇEŞİTLİ HÜKÜMLER:</w:t>
      </w:r>
    </w:p>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 ŞİRKETİN İMZASI:</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savunma sanayi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