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SERVİS TAŞIMACILIĞI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TAŞIYICI (Servis Firması):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personeli için TAŞIYICI tarafından sağlanacak personel taşımacılığı hizmetine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Taşıma Güzergahı ve Saatleri: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(Servis güzergahları ve durakları ayrıntılı olarak belirtilecektir.)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(Gidiş ve dönüş saatleri ayrıntılı olarak belirtilecektir.)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Özellikleri: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(Kullanılacak araçların marka, model, yaş, kapasite ve diğer özellikleri belirtilecektir.)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(Araçların periyodik bakım ve muayenelerinin yapılmış olması şartı)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Sayısı: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(Taşınacak personel sayısı belirtilecektir.)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(Sözleşmenin başlangıç ve bitiş tarihleri belirtilecektir.)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Ücreti: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(Aylık veya dönemlik olarak ödenecek toplam ücret belirtilecektir.)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(Ödeme şekli ve zamanı belirtilecektir.)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Taşınacak personel listesini ve adres bilgilerini TAŞIYICI'ya zamanında bildirmek.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ücretini zamanında ve eksiksiz ödemek.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servis kurallarına uymasını sağlamak.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hizmetinden memnun kalmama durumunda TAŞIYICI'yı yazılı olarak uyarmak ve belirlenen süre içinde düzeltme yapılmaması halinde sözleşmeyi feshetme hakkını kullanmak.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TAŞIYICI'NIN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 güvenli, zamanında ve belirlenen güzergahlara uygun olarak taşımak.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temiz, bakımlı ve trafik kurallarına uygun olmasını sağlamak.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periyodik bakım ve onarımlarını zamanında yaptırmak.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Araçlarda gerekli güvenlik ekipmanlarını (yangın söndürme cihazı, ilk yardım çantası, trafik seti vb.) bulundurmak.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Şoförlerin gerekli ehliyet ve belgelere (SRC belgesi, psikoteknik raporu vb.) sahip olmasını sağlamak.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Şoförlerin trafik kurallarına uymasını ve personelin güvenliğini sağlamasını sağlamak.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kaza veya olumsuz durumda, gerekli tüm yasal işlemleri yapmak ve İŞVEREN'i bilgilendirmek.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boyunca araç ve personel değişikliklerini İŞVEREN'e önceden bildirmek.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talep etmesi halinde, servis hizmetleri ile ilgili raporları sunmak.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sigorta primlerini düzenli olarak ödemek.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trafik ve kasko sigortalarının yapılmış olmasını sağlamak.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şoförler tarafından kullanıldığından emin olmak ve yetkisiz kişilerin araçları kullanmasına izin vermemek.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tarafından, TAŞIYICI'nın sözleşme hükümlerine aykırı davranması veya taahhütlerini yerine getirmemesi durumunda, yazılı bildirimle ve ________ günlük süre tanıyarak.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TAŞIYICI tarafından, İŞVEREN'in servis ücretini ödememesi veya sözleşme hükümlerine aykırı davranması durumunda, yazılı bildirimle ve ________ günlük süre tanıyarak.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sebeplerin ortaya çıkması halinde (doğal afet, savaş, salgın hastalık vb.).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kaynaklanan her türlü uyuşmazlıkta, _________________ Mahkemeleri ve İcra Daireleri yetkilidir.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TAŞIYICI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güzergahı ve durakları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listesi ve özellikleri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Şoförlerin bilgileri ve belgeleri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