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 GEÇİŞİ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Devreden İşveren: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Devralan İşveren: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 İşveren, bünyesinde çalışan yukarıda bilgileri belirtilen İşçi'nin, 4857 sayılı İş Kanunu'nun 6. maddesi uyarınca işyerinin devri nedeniyle Devralan İşveren'e geçişine muvafakat ettiğini,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Devralan İşveren, yukarıda bilgileri belirtilen İşçi'yi, 4857 sayılı İş Kanunu'nun 6. maddesi uyarınca işyerinin devri nedeniyle bünyesine katılmasına muvafakat ettiğini,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Devreden İşveren'den Devralan İşveren'e, 4857 sayılı İş Kanunu'nun 6. maddesi uyarınca işyerinin devri nedeniyle geçişine muvafakat ettiğini beyan ederler.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Geçiş Şartları: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Geçiş Tarihi:</w:t>
      </w:r>
      <w:r w:rsidDel="00000000" w:rsidR="00000000" w:rsidRPr="00000000">
        <w:rPr>
          <w:color w:val="1f1f1f"/>
          <w:rtl w:val="0"/>
        </w:rPr>
        <w:t xml:space="preserve"> [İşçinin devralan işverene geçiş tarihi]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 ve Diğer Haklar:</w:t>
      </w:r>
      <w:r w:rsidDel="00000000" w:rsidR="00000000" w:rsidRPr="00000000">
        <w:rPr>
          <w:color w:val="1f1f1f"/>
          <w:rtl w:val="0"/>
        </w:rPr>
        <w:t xml:space="preserve"> İşçi'nin mevcut ücret, yan haklar ve sosyal hakları, iş sözleşmesinde belirtilen esaslar dahilinde aynen korunacaktır.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Kıdem Tazminatı:</w:t>
      </w:r>
      <w:r w:rsidDel="00000000" w:rsidR="00000000" w:rsidRPr="00000000">
        <w:rPr>
          <w:color w:val="1f1f1f"/>
          <w:rtl w:val="0"/>
        </w:rPr>
        <w:t xml:space="preserve"> İşçi'nin kıdem tazminatı hakkı, 4857 sayılı İş Kanunu'nun 14. maddesi uyarınca hesaplanacak ve ödenecektir.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[Taraflar arasında kararlaştırılan diğer hususlar varsa burada belirtilebilir.]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Beyanlar: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muvafakatnameyi okuyup anlayarak ve karşılıklı iyi niyet kuralları çerçevesinde imzalamışlardır.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Devreden İşveren (Yetkili İmza):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Devralan İşveren (Yetkili İmza):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belge sadece bir örnektir. İşçi geçişi muvafakatnameleri, tarafların özgün ihtiyaçlarına ve anlaşmalarına göre değişiklik gösterebilir.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