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SULH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Vekili (varsa):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 Mahkemesi'nde görülen ... Esas sayılı dava konusuna ilişkin olarak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Sulh Şartları: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[Sulh şartları maddeler halinde detaylı bir şekilde yazılır.]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Örnek: Davalı, davacıya .../.../..... tarihine kadar ... TL ödeyecektir.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Örnek: Taraflar, aralarındaki ... uyuşmazlığını sona erdirmeyi kabul etmişlerdir.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[Gerekirse diğer sulh şartları eklenir.]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 arasında yapılan karşılıklı tavizler sonucu düzenlenmiştir.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hükümlerine uymayı kabul ve taahhüt ederler.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Mahkemesi'nin ... Esas sayılı dosyasına sunulmak üzere ... nüsha olarak düzenlenmiştir.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Davacı/Vekili: Davalı/Vekili: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Onayı: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sulh protokolü, ... Mahkemesi tarafından .../.../..... tarihinde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Kaşe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sulh protokolüdür. Tarafların özel durumuna ve uyuşmazlık konusuna göre bir avukat tarafından yeniden düzenlenmelidir.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protokolü, mahkeme tarafından onaylanmadan önce taraflarca imzalanmalıdır.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protokolü, mahkemece onaylandıktan sonra kesin hüküm ifade eder ve tarafları bağlar.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