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SÜRESİZ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Süresiz Muvafakatname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[Muvafakat Veren Adı Soyadı]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  <w:r w:rsidDel="00000000" w:rsidR="00000000" w:rsidRPr="00000000">
        <w:rPr>
          <w:color w:val="1f1f1f"/>
          <w:rtl w:val="0"/>
        </w:rPr>
        <w:t xml:space="preserve"> [Muvafakat Veren TC Kimlik Numarası]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[Muvafakat Veren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Soyadı/Unvanı:</w:t>
      </w:r>
      <w:r w:rsidDel="00000000" w:rsidR="00000000" w:rsidRPr="00000000">
        <w:rPr>
          <w:color w:val="1f1f1f"/>
          <w:rtl w:val="0"/>
        </w:rPr>
        <w:t xml:space="preserve"> [Muvafakat Alan Adı Soyadı/Unvanı]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Numarası/Vergi Numarası:</w:t>
      </w:r>
      <w:r w:rsidDel="00000000" w:rsidR="00000000" w:rsidRPr="00000000">
        <w:rPr>
          <w:color w:val="1f1f1f"/>
          <w:rtl w:val="0"/>
        </w:rPr>
        <w:t xml:space="preserve"> [Muvafakat Alan TC Kimlik Numarası/Vergi Numarası]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[Muvafakat Alan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verilen konu açık ve net bir şekilde belirtilmelidir. Örneğin: "Taşınmazın satışı, kiralanması ve yönetilmesi", "Çocuğun eğitimi ile ilgili tüm kararların alınması", "Kişisel verilerin işlenmesi ve paylaşılması" gibi.]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veren, yukarıda belirtilen konuda muvafakat alana süresiz olarak tam yetki verdiğini beyan eder. Muvafakat alan, bu yetkiyi dilediği gibi kullanabilir ve muvafakat verene herhangi bir bildirimde bulunmak zorunda değildir.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alan, kendisine verilen yetkiyi kullanırken iyi niyet kurallarına uygun hareket etmek ve muvafakat verenin menfaatlerini gözetmekle yükümlüdür.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muvafakat verenin yazılı bildirimi ile her zaman feshedilebilir. Fesih bildirimi, muvafakat alana ulaştığı anda geçerlilik kazanır.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Veren: Muvafakat Alan: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Soyad] [Ad Soyad/Unvanı]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Onayı (Gerekirse):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 [Noter Adı Soyadı] tarafından düzenlenen [Belge Numarası] sayılı noterlik belgesi ile onaylanmıştır.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Süresiz muvafakatname düzenlerken bir avukattan yardım almanız önerilir.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konusu, tarafların kimlik bilgileri açık ve net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tasdiki gerektiren durumlarda (örneğin, taşınmaz satışı, vesayet işlemleri vb.) noter huzurunda imzalanmalı ve onaylatılmalıdır.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Süresiz muvafakatnameler dikkatli bir şekilde düzenlenmeli ve muvafakat verenin hakları korunmalıdır.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