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TADİLAT RUHSATI ALINMASI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Sahibi/Kiracısı (Muvafakat Veren):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Tadilatı Yaptıracak Kişi (Muvafakat Alan):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 (varsa):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Cilt No: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Sayfa No: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belirtilen taşınmazda yapılacak tadilatlar için Muvafakat Alan'ın ilgili belediye veya kurumdan tadilat ruhsatı almasına muvafakat ettiğini beyan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Tadilatın Kapsamı: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[Detaylı tadilat açıklaması (örneğin: iç duvar yıkımı, tesisat değişimi, boya badana vb.)]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[Tadilatın yapılacağı alan/odalar]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tadilat ruhsatı başvurusu ve alınması sürecinde gerekli tüm belgeleri temin etmekle yükümlüdür.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tadilatı yürürlükteki imar mevzuatı ve ilgili yönetmeliklere uygun olarak yapmayı taahhüt eder.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tadilat sırasında oluşabilecek her türlü hasar ve zarardan sorumludur.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Veren'in, tadilatın başlaması ve bitişi hakkında bilgilendirilme hakkı saklıdır.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tadilatın mevzuata aykırı yapılması veya taşınmaza zarar vermesi durumunda tadilatı durdurma hakkına sahiptir.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(Mülk Sahibi/Kiracısı):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(Tadilatı Yaptıracak Kişi):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Tadilat ruhsatı için muvafakatnameler,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