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TAPU DEVİR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Satıcı (Taşınmaz Maliki):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satıcının mülkiyetinde bulunan aşağıda belirtilen taşınmazın alıcıya devrine ilişkin usul ve esasları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Taşınmazın Tanımı: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(Pafta, ada, parsel, niteliği, yüzölçümü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Devir Bedeli: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satış bedeli: ... TL (Türk Lirası)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Teslim: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teslim tarihi: .../.../.....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(Taşınmazın adresi)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Masraflar: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devir masrafları: (Alıcı/Satıcı tarafından karşılanacak masraflar belirtilir.)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masraflar: (Emlak vergisi, elektrik, su, doğalgaz vb. aboneliklerin devri ile ilgili masraflar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Beyan ve Kabul: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taşınmazın mülkiyetinin kendisine ait olduğunu, üzerinde herhangi bir takyidat, ipotek veya şerh bulunmadığını beyan ve taahhüt eder.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taşınmazı tüm eksiklikleri ve ayıpları ile birlikte kabul ettiğini beyan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 Örneğin, taşınmazın boşaltılması, kiracı tahliyesi, mevcut borçların devri vb.)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Yürürlük: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Satıcı: Alıcı: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tapu senedi örneği, kimlik fotokopileri vb. ekler eklenebilir.)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tapu devir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devri işlemleri, Tapu ve Kadastro Genel Müdürlüğü'nün ilgili mevzuatına uygun olarak yapılmalıdır.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