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TARIM VE HAYVANCILIK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Tarım ve Hayvancılık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ve hayvancılık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Tarımsal ve hayvansal üretim yapmak ve geliştirmek,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Tarımsal ve hayvansal ürünleri işlemek, pazarlamak ve satmak,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güvenliğine ve hayvan sağlığına katkıda bulunmak,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sürdürülebilir bir şirket olmak.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tarımsal ürünün (tahıl, bakliyat, sebze, meyve, endüstriyel bitkiler vb.) üretimi, işlenmesi, paketlenmesi, depolanması, taşınması, pazarlanması ve satışı.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Tohum, fide, fidan, gübre, ilaç, tarım makineleri ve diğer tarımsal girdilerin alım satımı, ithalatı ve ihracatı.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arazileri satın almak, kiralamak, işletmek ve kiraya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Sera, bahçe, tarla ve diğer tarımsal üretim tesisleri kurmak, işletmek, kiralamak ve kiraya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Tarımsal ürünlerin işlenmesi için gerekli olan her türlü tesis ve fabrikayı kurmak, işletmek, kiralamak ve kiraya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Büyükbaş, küçükbaş, kanatlı hayvan yetiştiriciliği ve arıcılık gibi hayvancılık faaliyetleri yapmak.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Hayvansal ürünlerin (süt, et, yumurta, bal vb.) üretimi, işlenmesi, paketlenmesi, depolanması, taşınması, pazarlanması ve satışı.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ve hayvancılık ile ilgili her türlü danışmanlık, eğitim, proje ve araştırma-geliştirme hizmetleri vermek.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Tarım ve hayvancılık ile ilgili her türlü fuar, sergi ve organizasyonlara katılmak.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tarım ve hayvancılık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