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[Şirketinizin/Mülk Sahibinin 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TAHLİYE İHTARNAMESİ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[Kiracının 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TBK Madde 316'ya Dayalı Tahliye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[Kiracı Adı Soyadı],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[Adres] adresinde bulunan ve maliki şirketimiz/[Mülk Sahibi Adı Soyadı] olan [Taşınmazın Cinsi (Daire, İşyeri vb.)] taşınmazı kiralamakta olduğunuz bilinmektedir.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tarafınızca/sizden kaynaklı [Açıkça Belirtilen Sebep] nedeniyle, 6098 sayılı Türk Borçlar Kanunu'nun 316. maddesi uyarınca kira sözleşmesi haklı nedenle feshedilmiştir.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 kiralananı [Tahliye Tarihi] tarihine kadar tahliye etmenizi ve anahtarları tarafımıza teslim etmenizi talep ediyoruz.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ihtarnameye uyulmaması halinde, yasal yollara başvurma hakkımız saklıdır.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Yetkilisinin/Mülk Sahibinin Adı Soyadı ve İmzası]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 Vergi Numarası ve Mersis Numarası (varsa)]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muhataba tebliğini, bir suretinin dairenizde saklanmasını ve tebliğ şerhini havi bir suretinin de tarafımıza verilmesini talep ederiz.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Yetkilisinin/Mülk Sahibinin Adı Soyadı ve İmzası]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olayın özelliklerine ve TBK Madde 316'nın hangi bendine dayanılarak tahliye talep edildiğine göre değişebilir.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Açıkça Belirtilen Sebep</w:t>
      </w:r>
      <w:r w:rsidDel="00000000" w:rsidR="00000000" w:rsidRPr="00000000">
        <w:rPr>
          <w:color w:val="1f1f1f"/>
          <w:rtl w:val="0"/>
        </w:rPr>
        <w:t xml:space="preserve"> kısmında, kiracının TBK Madde 316'ya aykırı hangi davranışta bulunduğu detaylı bir şekilde açıklanmalıdır. (Örneğin: "Kiralananı tahrip etmeniz," "Komşuları rahatsız etmeniz," "Kira bedelini sürekli geciktirmeniz" gibi.)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sürecinde bir avukata danışmanız tavsiye edilir.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TBK Madde 316, kiracının kiralananı özenle kullanma ve komşulara saygı gösterme yükümlülüğünü düzenler.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maddeye aykırı davranışlar, kira sözleşmesinin haklı nedenle feshi ve kiracının tahliyesi için bir sebep oluşturabilir.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davası açmadan önce kiracıya noter aracılığıyla ihtarname gönderilmesi zorunludur.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