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TBK Madde 347'ye Dayalı Kira Sözleşmesinin Sona Ermesi ve Tahliye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taşınmazı, [Kira Sözleşmesi Başlangıç Tarihi] tarihinden itibaren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6098 sayılı Türk Borçlar Kanunu'nun 347. maddesi uyarınca, belirsiz süreli kira sözleşmelerinde, kiraya veren kiranın başlangıcından on yıl geçtikten sonra, genel hükümlere göre fesih bildirimiyle sözleşmeyi sona erdirebilir.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 tarafınıza, kira sözleşmesinin [Tahliye Tarihi] tarihinde sona ereceğini ve kiralananı bu tarihe kadar tahliye etmeniz gerektiğini bildiririz. Aksi takdirde, yasal yollara başvurma hakkımız saklıdır.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 ve ilgili mevzuat hükümlerine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Tarihi, kiranın başlangıcından itibaren 10 yılın dolduğu tarihten sonraki bir tarihi göstermelidir.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TBK Madde 347, belirsiz süreli kira sözleşmelerinin sona erdirilmesiyle ilgili hükümleri içerir.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Kiraya veren, 10 yıllık sürenin dolmasından sonra dilediği zaman kira sözleşmesini feshedebilir.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tahliye ihtarnamesine belirtilen süre içinde taşınmazı boşaltmazsa, mülk sahibi tahliye davası açabilir.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