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[Şirketinizin/Mülk Sahibinin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TAHLİYE İHTARNAMESİ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[Kiracının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TBK Madde 350/1'e Dayalı İhtiyaç Nedeniyle Tahliye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[Kiracı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[Adres] adresinde bulunan ve maliki şirketimiz/[Mülk Sahibi Adı Soyadı] olan [Taşınmazın Cinsi (Daire, İşyeri vb.)] taşınmazı, [Kira Sözleşmesi Başlangıç Tarihi] tarihinden itibaren kiralamakta olduğunuz bilinmektedir.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6098 sayılı Türk Borçlar Kanunu'nun 350/1. maddesi uyarınca, kiraya veren kiralananı kendisi, eşi, altsoyu, üstsoyu veya kanun gereği bakmakla yükümlü olduğu diğer kişiler için konut veya işyeri gereksinimi sebebiyle kullanma zorunluluğu varsa, kira sözleşmesini altı ayı geçmemek üzere bir süre vererek feshedebilir.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tarafınıza, kira sözleşmesinin [Tahliye Tarihi] tarihinde (bu tarih, ihtarın tebliğinden itibaren 6 ayı geçmemelidir) sona ereceğini ve kiralananı bu tarihe kadar tahliye etmeniz gerektiğini bildiririz. Kiralananı, şirketimiz/[Mülk Sahibi Adı Soyadı] tarafından [Kullanım Amacı (konut/işyeri olarak kullanılmak üzere)] kullanılacaktır.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ihtarnameye uyulmaması halinde, yasal yollara başvurma hakkımız saklıdır.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Yetkilisinin/Mülk Sahibinin Adı Soyadı ve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Vergi Numarası ve Mersis Numarası (varsa)]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Yetkilisinin/Mülk Sahibinin Adı Soyadı ve İmzası]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kira sözleşmesi ve ilgili mevzuat hükümlerine göre değişebilir.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ihtarın tebliğinden itibaren 6 ayı geçmemelidir.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sebebinin (konut/işyeri ihtiyacı) ve kimin tarafından kullanılacağının açıkça belirtilmesi gerekmektedir.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sürecinde bir avukata danışmanız tavsiye edilir.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TBK Madde 350/1, kiraya verenin haklı sebeplerle kira sözleşmesini feshedebileceği durumları düzenler.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Konut veya işyeri ihtiyacı, kira sözleşmesinin feshi için haklı bir sebep olarak kabul edilir.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tahliye ihtarnamesine belirtilen süre içinde taşınmazı boşaltmazsa, mülk sahibi tahliye davası açabilir.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