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TEKNE ÜRETİM VE PAZARLAMA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Tekne Üretim ve Pazarlama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üretimi ve pazarlama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tekne ve yatın tasarımını, üretimini, satışını ve pazarlamasını yapmak,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kaliteli, güvenli ve yenilikçi tekneler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tekne, yat, sürat teknesi, balıkçı teknesi, yelkenli tekne, kano, deniz bisikleti, jet ski ve diğer deniz araçlarının tasarımını, üretimini, alım satımını, ithalatını, ihracatını ve pazarlamasını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ve yat üretimi için gerekli olan her türlü malzeme, ekipman ve aksesuarın alım satımı, ithalatı ve ihracatını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ve yat bakım, onarım, servis, modifikasyon, kışlama ve diğer hizmetlerini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ve yat kiralama hizmetleri sunmak.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Marina, çekek yeri, atölye ve benzeri tesisler kurmak, işletmek, kiralamak ve kiraya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ve yat ile ilgili her türlü eğitim, danışmanlık, organizasyon ve proje hizmetleri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Tekne ve yat yarışları, fuarları, sergileri ve diğer etkinliklere katılmak ve düzenlemek.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tekne üretim ve pazarlama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