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Ticaret Mahkemesi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Mahkemesi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Konusunun Açıklaması (Alacak Davası, Tazminat Davası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Bedel: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Mahkeme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Harç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Oturum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 (Sözleşmeler, Fatura, Ödeme Makbuzu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Davalı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Dava Konusunun Açıklaması:</w:t>
      </w:r>
      <w:r w:rsidDel="00000000" w:rsidR="00000000" w:rsidRPr="00000000">
        <w:rPr>
          <w:color w:val="1f1f1f"/>
          <w:rtl w:val="0"/>
        </w:rPr>
        <w:t xml:space="preserve">] arasında bir ihtilaf bulunmaktadır. Bu ihtilafın çözümü için dava açma zarureti hâsıl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Konusunun Detaylı Açıklaması: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Konusunun Olayları ve Tarafların Rolleri: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Konusunun Yasal Dayanağı: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Alacağı/Tazminat Talebi: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ışığında, Türk Ticaret Kanunu ve ilgili mevzuat hükümleri uyarınca: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Alacağı/Tazminat Talebinin Miktarı:</w:t>
      </w:r>
      <w:r w:rsidDel="00000000" w:rsidR="00000000" w:rsidRPr="00000000">
        <w:rPr>
          <w:color w:val="1f1f1f"/>
          <w:rtl w:val="0"/>
        </w:rPr>
        <w:t xml:space="preserve">] tutarındaki alacağımın/tazminatımın davalıdan tahsil edilmesine,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Davalıya [</w:t>
      </w:r>
      <w:r w:rsidDel="00000000" w:rsidR="00000000" w:rsidRPr="00000000">
        <w:rPr>
          <w:b w:val="1"/>
          <w:color w:val="1f1f1f"/>
          <w:rtl w:val="0"/>
        </w:rPr>
        <w:t xml:space="preserve">Davacının Davalıya Yönelttiği Uyarı/İhtar (Varsa):</w:t>
      </w:r>
      <w:r w:rsidDel="00000000" w:rsidR="00000000" w:rsidRPr="00000000">
        <w:rPr>
          <w:color w:val="1f1f1f"/>
          <w:rtl w:val="0"/>
        </w:rPr>
        <w:t xml:space="preserve">] uyarısında bulunulmasına,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Yasal masraflarımın ve vekalet ücretimin davalıdan tahsil edilmesine,**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 dilekçenizin gerekçesine göre değişiklik yapabilirsiniz.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ticaret mahkemesine elden veya posta yoluyla teslim edebilirsiniz.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Ticaret mahkemesinde dava açmak karmaşık bir yasal işlem olabilir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ticaret mahkemesinde dava dilekçesi yazarken size yardımcı olur.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