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Tayini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Sulh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Tayini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Durumu:</w:t>
      </w:r>
      <w:r w:rsidDel="00000000" w:rsidR="00000000" w:rsidRPr="00000000">
        <w:rPr>
          <w:color w:val="1f1f1f"/>
          <w:rtl w:val="0"/>
        </w:rPr>
        <w:t xml:space="preserve">] nedeniyle kendi işlerini ve malvarlığını idare edecek durumda bulunmamaktadır. Bu nedenle,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]'nın vasisi olarak atanmamı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[Vasi Olmaya Uygunluğunuzu Gösteren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Psikolojik Yeterlilik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vasi olmaya uygunluğunuza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tayini davası mahkeme tarafından açılacak ve mahkemece vasi atanacağı kanaatine varılırsa vasilik görevi size verilecektir.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olmak isteyen bir kişi, aşağıdaki şartları sağlamalıdır: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Cumhuriyeti vatandaşı olmak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yaşını doldurmuş olmak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Akıl hastalığı veya psikolojik bir rahatsızlığa sahip olmamak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Uyuşturucu veya uyarıcı madde kullanmamak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suçtan hüküm almamış olmak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tayini davası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