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Soyadı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TBK Madde 351'e Dayalı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[Eski Mülk Sahibinin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taşınmazın mülkiyeti, [Tarih] tarihinde tarafıma geçmiştir. 6098 sayılı Türk Borçlar Kanunu'nun 351. maddesi uyarınca, yeni malik, edinme tarihinden başlayarak bir ay içinde, kiracıya yazılı olarak bildirmek koşuluyla, eski malikin haklarını kullanabilir.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tarafınıza, kira sözleşmesinin [Tahliye Tarihi] tarihinde (bu tarih, ihtarın tebliğinden itibaren en az 30 gün sonrasını göstermelidir) sona ereceğini ve kiralananı bu tarihe kadar tahliye etmeniz gerektiğini bildiririz.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İsteğe Bağlı Gerekçe: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TBK Madde 350/1'e Dayalı İhtiyaç Nedeniyle Tahliye:</w:t>
      </w:r>
      <w:r w:rsidDel="00000000" w:rsidR="00000000" w:rsidRPr="00000000">
        <w:rPr>
          <w:color w:val="1f1f1f"/>
          <w:rtl w:val="0"/>
        </w:rPr>
        <w:t xml:space="preserve"> Kiralananı, [Kullanım Amacı (konut/işyeri olarak kullanılmak üzere)] kullanacağım.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Başka Bir Gerekçe:</w:t>
      </w:r>
      <w:r w:rsidDel="00000000" w:rsidR="00000000" w:rsidRPr="00000000">
        <w:rPr>
          <w:color w:val="1f1f1f"/>
          <w:rtl w:val="0"/>
        </w:rPr>
        <w:t xml:space="preserve"> (Örneğin, taşınmazın yeniden inşası veya kapsamlı onarımı gibi)]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uyulmaması halinde, yasal yollara başvurma hakkımız saklıdır.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TC Kimlik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İmzası]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TC Kimlik Numarası]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 ve ilgili mevzuat hükümlerine göre değişebilir.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ihtarın tebliğinden itibaren en az 30 gün sonrasını göstermelidir.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sebebi açık ve net bir şekilde belirtilmelidir. (TBK Madde 350/1'e dayalı ihtiyaç nedeniyle tahliye veya başka bir gerekçe)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sürecinde bir avukata danışmanız tavsiye edilir.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malik, taşınmazı edindikten sonra bir ay içinde kiracıya tahliye ihtarnamesi göndermelidir.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ihtarnamesine belirtilen süre içinde taşınmazı boşaltmazsa, yeni malik tahliye davası açabilir.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davasında, yeni malikin taşınmazı kendi veya birinci derece yakınları için kullanma zorunluluğu ispatlaması gerekebilir. (Eğer TBK Madde 350/1'e dayalı tahliye talep ediliyorsa)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