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Yoklama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Yoklama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Departmanınız:</w:t>
      </w:r>
      <w:r w:rsidDel="00000000" w:rsidR="00000000" w:rsidRPr="00000000">
        <w:rPr>
          <w:color w:val="1f1f1f"/>
          <w:rtl w:val="0"/>
        </w:rPr>
        <w:t xml:space="preserve">] departmanında [</w:t>
      </w:r>
      <w:r w:rsidDel="00000000" w:rsidR="00000000" w:rsidRPr="00000000">
        <w:rPr>
          <w:b w:val="1"/>
          <w:color w:val="1f1f1f"/>
          <w:rtl w:val="0"/>
        </w:rPr>
        <w:t xml:space="preserve">Göreviniz:</w:t>
      </w:r>
      <w:r w:rsidDel="00000000" w:rsidR="00000000" w:rsidRPr="00000000">
        <w:rPr>
          <w:color w:val="1f1f1f"/>
          <w:rtl w:val="0"/>
        </w:rPr>
        <w:t xml:space="preserve">] olarak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- [</w:t>
      </w: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] tarihleri arasında [</w:t>
      </w: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] sebebiyle iş yerinde bulunamayacağım.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tarihlerde [</w:t>
      </w:r>
      <w:r w:rsidDel="00000000" w:rsidR="00000000" w:rsidRPr="00000000">
        <w:rPr>
          <w:b w:val="1"/>
          <w:color w:val="1f1f1f"/>
          <w:rtl w:val="0"/>
        </w:rPr>
        <w:t xml:space="preserve">Yerine Bakacak Kişinin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Görevi:</w:t>
      </w:r>
      <w:r w:rsidDel="00000000" w:rsidR="00000000" w:rsidRPr="00000000">
        <w:rPr>
          <w:color w:val="1f1f1f"/>
          <w:rtl w:val="0"/>
        </w:rPr>
        <w:t xml:space="preserve">]) görevlendirilmiştir.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mazeretim kabul edilmesi hususunda 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[Belge:</w:t>
      </w:r>
      <w:r w:rsidDel="00000000" w:rsidR="00000000" w:rsidRPr="00000000">
        <w:rPr>
          <w:color w:val="1f1f1f"/>
          <w:rtl w:val="0"/>
        </w:rPr>
        <w:t xml:space="preserve">] (Eğer varsa, mazeretinizi belgeleyen belgeyi ekleyin)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İnsan Kaynakları Departmanı'na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Yoklama dilekçesi verme süresi ve formatı şirketlere göre değişiklik gösterebilir. Bu nedenle, dilekçenizi yazmadan önce şirketinizin insan kaynakları departmanıyla görüşmeniz önemlidir.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